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4AEE" w14:textId="2004D42B" w:rsidR="00C0305E" w:rsidRPr="00E57E45" w:rsidRDefault="00C6190E" w:rsidP="00E57E45">
      <w:pPr>
        <w:jc w:val="center"/>
        <w:rPr>
          <w:b/>
          <w:bCs/>
        </w:rPr>
      </w:pPr>
      <w:r w:rsidRPr="00E57E45">
        <w:rPr>
          <w:b/>
          <w:bCs/>
        </w:rPr>
        <w:t>South Norfolk Village Cluster Housing Allocation Plan (VCHAP)</w:t>
      </w:r>
    </w:p>
    <w:p w14:paraId="1964582F" w14:textId="24766532" w:rsidR="00C6190E" w:rsidRPr="00E57E45" w:rsidRDefault="00C6190E" w:rsidP="00E57E45">
      <w:pPr>
        <w:jc w:val="center"/>
        <w:rPr>
          <w:b/>
          <w:bCs/>
        </w:rPr>
      </w:pPr>
      <w:r w:rsidRPr="00E57E45">
        <w:rPr>
          <w:b/>
          <w:bCs/>
        </w:rPr>
        <w:t xml:space="preserve">Rockland St Mary with </w:t>
      </w:r>
      <w:proofErr w:type="spellStart"/>
      <w:r w:rsidRPr="00E57E45">
        <w:rPr>
          <w:b/>
          <w:bCs/>
        </w:rPr>
        <w:t>Hellington</w:t>
      </w:r>
      <w:proofErr w:type="spellEnd"/>
      <w:r w:rsidR="00E57E45">
        <w:rPr>
          <w:b/>
          <w:bCs/>
        </w:rPr>
        <w:t xml:space="preserve"> (VCROC1)</w:t>
      </w:r>
    </w:p>
    <w:p w14:paraId="0C3C7558" w14:textId="719BC2B1" w:rsidR="00C6190E" w:rsidRDefault="00C6190E" w:rsidP="00E57E45">
      <w:pPr>
        <w:jc w:val="center"/>
      </w:pPr>
    </w:p>
    <w:p w14:paraId="5B67CE1C" w14:textId="7D1FAB84" w:rsidR="00C6190E" w:rsidRPr="002310D8" w:rsidRDefault="00C6190E"/>
    <w:p w14:paraId="2DD0BDDC" w14:textId="3447B41C" w:rsidR="0024736E" w:rsidRPr="00A47BC8" w:rsidRDefault="0024736E">
      <w:pPr>
        <w:rPr>
          <w:b/>
          <w:bCs/>
          <w:i/>
          <w:iCs/>
        </w:rPr>
      </w:pPr>
      <w:r w:rsidRPr="00A47BC8">
        <w:rPr>
          <w:b/>
          <w:bCs/>
          <w:i/>
          <w:iCs/>
        </w:rPr>
        <w:t>Context</w:t>
      </w:r>
    </w:p>
    <w:p w14:paraId="16B670C4" w14:textId="2AA565CC" w:rsidR="00DB43B3" w:rsidRPr="00A47BC8" w:rsidRDefault="00C6190E">
      <w:pPr>
        <w:rPr>
          <w:i/>
          <w:iCs/>
        </w:rPr>
      </w:pPr>
      <w:r w:rsidRPr="00A47BC8">
        <w:rPr>
          <w:i/>
          <w:iCs/>
        </w:rPr>
        <w:t>The South Norfolk Local Plan and the broader Greater Norwich Local Plan (and Joint Core Strategy between South Norfolk, Broadland and Norwich Councils) have all been adopted</w:t>
      </w:r>
      <w:r w:rsidR="00A47BC8">
        <w:rPr>
          <w:i/>
          <w:iCs/>
        </w:rPr>
        <w:t xml:space="preserve"> by Council</w:t>
      </w:r>
      <w:r w:rsidR="008C5392" w:rsidRPr="00A47BC8">
        <w:rPr>
          <w:i/>
          <w:iCs/>
        </w:rPr>
        <w:t>.</w:t>
      </w:r>
      <w:r w:rsidRPr="00A47BC8">
        <w:rPr>
          <w:i/>
          <w:iCs/>
        </w:rPr>
        <w:t xml:space="preserve"> </w:t>
      </w:r>
    </w:p>
    <w:p w14:paraId="5150B91E" w14:textId="3DD55EDA" w:rsidR="00DB43B3" w:rsidRDefault="00DB43B3"/>
    <w:p w14:paraId="3DA4B261" w14:textId="3FCB9808" w:rsidR="0024736E" w:rsidRPr="00A47BC8" w:rsidRDefault="00A47BC8">
      <w:pPr>
        <w:rPr>
          <w:b/>
          <w:bCs/>
        </w:rPr>
      </w:pPr>
      <w:r w:rsidRPr="00A47BC8">
        <w:rPr>
          <w:b/>
          <w:bCs/>
        </w:rPr>
        <w:t>Character and Form</w:t>
      </w:r>
    </w:p>
    <w:p w14:paraId="3F5420C8" w14:textId="7010D88E" w:rsidR="00802EFB" w:rsidRDefault="008C5392">
      <w:pPr>
        <w:rPr>
          <w:b/>
          <w:bCs/>
        </w:rPr>
      </w:pPr>
      <w:r>
        <w:t>South Norfolk Village Cluster have three objectives: first, to respond to housing need; second, to support</w:t>
      </w:r>
      <w:r w:rsidR="00C6190E" w:rsidRPr="002310D8">
        <w:t xml:space="preserve"> </w:t>
      </w:r>
      <w:r>
        <w:t xml:space="preserve">the delivery and sustainability of services </w:t>
      </w:r>
      <w:r w:rsidR="00582F08">
        <w:t>attendant with this</w:t>
      </w:r>
      <w:r w:rsidR="00C6190E" w:rsidRPr="002310D8">
        <w:t xml:space="preserve">.  </w:t>
      </w:r>
      <w:r w:rsidR="00582F08">
        <w:t>SN</w:t>
      </w:r>
      <w:r>
        <w:t xml:space="preserve">VC Objective Three states </w:t>
      </w:r>
      <w:r w:rsidR="00582F08">
        <w:t xml:space="preserve">that such development must </w:t>
      </w:r>
      <w:r w:rsidR="00582F08" w:rsidRPr="008C5392">
        <w:rPr>
          <w:b/>
          <w:bCs/>
        </w:rPr>
        <w:t>“</w:t>
      </w:r>
      <w:r w:rsidRPr="008C5392">
        <w:rPr>
          <w:b/>
          <w:bCs/>
        </w:rPr>
        <w:t>protect the character of the villages and their settings”.</w:t>
      </w:r>
    </w:p>
    <w:p w14:paraId="363BCF86" w14:textId="30B588F6" w:rsidR="008C5392" w:rsidRPr="008C5392" w:rsidRDefault="008C5392">
      <w:pPr>
        <w:rPr>
          <w:b/>
          <w:bCs/>
        </w:rPr>
      </w:pPr>
      <w:r w:rsidRPr="008C5392">
        <w:rPr>
          <w:b/>
          <w:bCs/>
        </w:rPr>
        <w:t xml:space="preserve">  </w:t>
      </w:r>
    </w:p>
    <w:p w14:paraId="2522C6E7" w14:textId="1B8A06D8" w:rsidR="00C6190E" w:rsidRPr="002310D8" w:rsidRDefault="008C5392">
      <w:r w:rsidRPr="008C5392">
        <w:rPr>
          <w:color w:val="FF0000"/>
        </w:rPr>
        <w:t>Objective One is in direct contradiction to Objective Three regarding these two development proposals</w:t>
      </w:r>
      <w:r w:rsidR="00802EFB">
        <w:rPr>
          <w:color w:val="FF0000"/>
        </w:rPr>
        <w:t>; the developments will be to the detriment of the visual landscape in the village and its surrounds</w:t>
      </w:r>
      <w:r>
        <w:t xml:space="preserve">.  </w:t>
      </w:r>
    </w:p>
    <w:p w14:paraId="1015B422" w14:textId="00943CBB" w:rsidR="00C6190E" w:rsidRDefault="00C6190E"/>
    <w:p w14:paraId="51EA92E5" w14:textId="5ADE111D" w:rsidR="00A47BC8" w:rsidRPr="00A47BC8" w:rsidRDefault="00A47BC8">
      <w:pPr>
        <w:rPr>
          <w:b/>
          <w:bCs/>
        </w:rPr>
      </w:pPr>
      <w:r w:rsidRPr="00A47BC8">
        <w:rPr>
          <w:b/>
          <w:bCs/>
        </w:rPr>
        <w:t>Small scale, local</w:t>
      </w:r>
    </w:p>
    <w:p w14:paraId="7CEDF7C1" w14:textId="3B75DCA1" w:rsidR="008C5392" w:rsidRPr="00D94B86" w:rsidRDefault="00C6190E" w:rsidP="00D94B86">
      <w:r w:rsidRPr="002310D8">
        <w:t>The strategy and evolving Plans have been designed in line with the guiding National Planning Policy Framework</w:t>
      </w:r>
      <w:r w:rsidR="008C5392">
        <w:t xml:space="preserve"> (NPPF)</w:t>
      </w:r>
      <w:r w:rsidRPr="002310D8">
        <w:t xml:space="preserve"> set by central government in relation to rural housing.  </w:t>
      </w:r>
      <w:r w:rsidRPr="00D107D3">
        <w:rPr>
          <w:b/>
          <w:bCs/>
        </w:rPr>
        <w:t xml:space="preserve">The </w:t>
      </w:r>
      <w:r w:rsidR="008C5392" w:rsidRPr="00D107D3">
        <w:rPr>
          <w:b/>
          <w:bCs/>
        </w:rPr>
        <w:t>NPPF, paragraph 69</w:t>
      </w:r>
      <w:r w:rsidRPr="002310D8">
        <w:t xml:space="preserve"> specifies the </w:t>
      </w:r>
      <w:r w:rsidR="00D107D3">
        <w:t>desirability</w:t>
      </w:r>
      <w:r w:rsidRPr="002310D8">
        <w:t xml:space="preserve"> for smaller scale rural housing development</w:t>
      </w:r>
      <w:r w:rsidR="00D94B86">
        <w:t xml:space="preserve"> </w:t>
      </w:r>
      <w:r w:rsidR="00D107D3">
        <w:t xml:space="preserve"> to recognise the </w:t>
      </w:r>
      <w:r w:rsidR="008C5392" w:rsidRPr="008C5392">
        <w:rPr>
          <w:b/>
          <w:bCs/>
        </w:rPr>
        <w:t>“importance of small and medium sized sites up to 1 hectare in size”</w:t>
      </w:r>
      <w:r w:rsidR="00D107D3">
        <w:rPr>
          <w:b/>
          <w:bCs/>
        </w:rPr>
        <w:t xml:space="preserve">. </w:t>
      </w:r>
    </w:p>
    <w:p w14:paraId="31E4E28A" w14:textId="77777777" w:rsidR="008C5392" w:rsidRDefault="008C5392"/>
    <w:p w14:paraId="40548A39" w14:textId="7A9C8BC9" w:rsidR="008C5392" w:rsidRPr="008C5392" w:rsidRDefault="00A630D5">
      <w:pPr>
        <w:rPr>
          <w:color w:val="FF0000"/>
        </w:rPr>
      </w:pPr>
      <w:r>
        <w:rPr>
          <w:color w:val="FF0000"/>
        </w:rPr>
        <w:t xml:space="preserve">The updated site assessment for </w:t>
      </w:r>
      <w:r w:rsidR="008C5392" w:rsidRPr="008C5392">
        <w:rPr>
          <w:color w:val="FF0000"/>
        </w:rPr>
        <w:t xml:space="preserve">Regulation 19 </w:t>
      </w:r>
      <w:r>
        <w:rPr>
          <w:color w:val="FF0000"/>
        </w:rPr>
        <w:t xml:space="preserve">thus </w:t>
      </w:r>
      <w:r w:rsidR="008C5392" w:rsidRPr="008C5392">
        <w:rPr>
          <w:color w:val="FF0000"/>
        </w:rPr>
        <w:t>goes against the spirit and letter of the NPPF as VCROC1 site proposal exceed 1 hectare, with 1.4</w:t>
      </w:r>
      <w:r w:rsidR="00802EFB">
        <w:rPr>
          <w:color w:val="FF0000"/>
        </w:rPr>
        <w:t>h</w:t>
      </w:r>
      <w:r w:rsidR="008C5392" w:rsidRPr="008C5392">
        <w:rPr>
          <w:color w:val="FF0000"/>
        </w:rPr>
        <w:t>a</w:t>
      </w:r>
      <w:r w:rsidR="00802EFB">
        <w:rPr>
          <w:color w:val="FF0000"/>
        </w:rPr>
        <w:t>.  25 sites per development is proposed, yet the H</w:t>
      </w:r>
      <w:r w:rsidR="00DB43B3">
        <w:rPr>
          <w:color w:val="FF0000"/>
        </w:rPr>
        <w:t>ELAA</w:t>
      </w:r>
      <w:r w:rsidR="00802EFB">
        <w:rPr>
          <w:color w:val="FF0000"/>
        </w:rPr>
        <w:t xml:space="preserve">/site assessment </w:t>
      </w:r>
      <w:r w:rsidR="00DB43B3">
        <w:rPr>
          <w:color w:val="FF0000"/>
        </w:rPr>
        <w:t>indicates sites as possible for</w:t>
      </w:r>
      <w:r w:rsidR="00802EFB">
        <w:rPr>
          <w:color w:val="FF0000"/>
        </w:rPr>
        <w:t xml:space="preserve"> </w:t>
      </w:r>
      <w:r w:rsidR="00802EFB" w:rsidRPr="00DB43B3">
        <w:rPr>
          <w:i/>
          <w:iCs/>
          <w:color w:val="FF0000"/>
        </w:rPr>
        <w:t>less</w:t>
      </w:r>
      <w:r w:rsidR="00802EFB">
        <w:rPr>
          <w:color w:val="FF0000"/>
        </w:rPr>
        <w:t xml:space="preserve"> housing units.  </w:t>
      </w:r>
    </w:p>
    <w:p w14:paraId="0282A935" w14:textId="77777777" w:rsidR="008C5392" w:rsidRDefault="008C5392"/>
    <w:p w14:paraId="06063783" w14:textId="195E031F" w:rsidR="008C5392" w:rsidRPr="00A47BC8" w:rsidRDefault="00A47BC8">
      <w:pPr>
        <w:rPr>
          <w:b/>
          <w:bCs/>
        </w:rPr>
      </w:pPr>
      <w:r w:rsidRPr="00A47BC8">
        <w:rPr>
          <w:b/>
          <w:bCs/>
        </w:rPr>
        <w:t>Suitable, achievable, available</w:t>
      </w:r>
    </w:p>
    <w:p w14:paraId="183C3EF0" w14:textId="65C15328" w:rsidR="00E57E45" w:rsidRDefault="00802EFB">
      <w:r>
        <w:t xml:space="preserve">NFFP also states preference for </w:t>
      </w:r>
      <w:r w:rsidR="008C5392">
        <w:t>dev</w:t>
      </w:r>
      <w:r>
        <w:t>elopments which are</w:t>
      </w:r>
      <w:r w:rsidR="008C5392">
        <w:t>:</w:t>
      </w:r>
    </w:p>
    <w:p w14:paraId="7C950837" w14:textId="77777777" w:rsidR="00E57E45" w:rsidRDefault="00E57E45"/>
    <w:p w14:paraId="7CBBEF3A" w14:textId="2A34C3B2" w:rsidR="00E57E45" w:rsidRDefault="00E57E45" w:rsidP="00E57E45">
      <w:pPr>
        <w:ind w:left="720"/>
      </w:pPr>
      <w:r>
        <w:t>“shown to be available now, offer a suitable location for development now, and be achievable with a realistic prospect that housing will be delivered on the site with five years” (or that developments will start to come on stream within five years).</w:t>
      </w:r>
    </w:p>
    <w:p w14:paraId="2B666893" w14:textId="12C69D8E" w:rsidR="00E57E45" w:rsidRDefault="00E57E45" w:rsidP="00E57E45"/>
    <w:p w14:paraId="5E32A0A5" w14:textId="77777777" w:rsidR="00E57E45" w:rsidRDefault="00E57E45" w:rsidP="00E57E45">
      <w:r>
        <w:t xml:space="preserve">This is in line with </w:t>
      </w:r>
      <w:r w:rsidRPr="008C5392">
        <w:rPr>
          <w:b/>
          <w:bCs/>
        </w:rPr>
        <w:t>NPPF Paragraph 74</w:t>
      </w:r>
      <w:r>
        <w:t xml:space="preserve"> relating to supply of sites.  The test for allocating sites is that they are:</w:t>
      </w:r>
    </w:p>
    <w:p w14:paraId="46065D57" w14:textId="77777777" w:rsidR="00E57E45" w:rsidRDefault="00E57E45" w:rsidP="00E57E45"/>
    <w:p w14:paraId="45BC5801" w14:textId="4C8D4D2F" w:rsidR="00E57E45" w:rsidRDefault="00E57E45" w:rsidP="00E57E45">
      <w:pPr>
        <w:pStyle w:val="ListParagraph"/>
        <w:numPr>
          <w:ilvl w:val="2"/>
          <w:numId w:val="1"/>
        </w:numPr>
      </w:pPr>
      <w:r>
        <w:t>Suitable</w:t>
      </w:r>
    </w:p>
    <w:p w14:paraId="2FB5FC96" w14:textId="16945054" w:rsidR="00E57E45" w:rsidRDefault="00E57E45" w:rsidP="00E57E45">
      <w:pPr>
        <w:pStyle w:val="ListParagraph"/>
        <w:numPr>
          <w:ilvl w:val="2"/>
          <w:numId w:val="1"/>
        </w:numPr>
      </w:pPr>
      <w:r>
        <w:t>Available</w:t>
      </w:r>
    </w:p>
    <w:p w14:paraId="0AE18361" w14:textId="13594C5F" w:rsidR="00E57E45" w:rsidRDefault="00E57E45" w:rsidP="00E57E45">
      <w:pPr>
        <w:pStyle w:val="ListParagraph"/>
        <w:numPr>
          <w:ilvl w:val="2"/>
          <w:numId w:val="1"/>
        </w:numPr>
      </w:pPr>
      <w:r>
        <w:t>Achievable</w:t>
      </w:r>
    </w:p>
    <w:p w14:paraId="4312784B" w14:textId="0EAE2191" w:rsidR="00E57E45" w:rsidRDefault="00E57E45" w:rsidP="00E57E45">
      <w:r>
        <w:tab/>
      </w:r>
      <w:r>
        <w:tab/>
        <w:t>(Source: Greater Norwich Housing Supply Assessment, 1</w:t>
      </w:r>
      <w:r w:rsidRPr="00E57E45">
        <w:rPr>
          <w:vertAlign w:val="superscript"/>
        </w:rPr>
        <w:t>st</w:t>
      </w:r>
      <w:r>
        <w:t xml:space="preserve"> April 2021)</w:t>
      </w:r>
    </w:p>
    <w:p w14:paraId="5A8E6522" w14:textId="2D34CB4A" w:rsidR="00C6190E" w:rsidRDefault="00036186">
      <w:r>
        <w:rPr>
          <w:color w:val="FF0000"/>
        </w:rPr>
        <w:t>Site</w:t>
      </w:r>
      <w:r w:rsidR="00802EFB" w:rsidRPr="00802EFB">
        <w:rPr>
          <w:color w:val="FF0000"/>
        </w:rPr>
        <w:t xml:space="preserve"> present</w:t>
      </w:r>
      <w:r>
        <w:rPr>
          <w:color w:val="FF0000"/>
        </w:rPr>
        <w:t>s</w:t>
      </w:r>
      <w:r w:rsidR="00802EFB" w:rsidRPr="00802EFB">
        <w:rPr>
          <w:color w:val="FF0000"/>
        </w:rPr>
        <w:t xml:space="preserve"> significant landscape and highways problems for the developers which go beyond the physical sites onto third party land.</w:t>
      </w:r>
      <w:r w:rsidR="00802EFB">
        <w:rPr>
          <w:color w:val="FF0000"/>
        </w:rPr>
        <w:t xml:space="preserve">  NCC Highways have stipulated a number of recommended and required measures on vehicular access</w:t>
      </w:r>
      <w:r w:rsidR="00DB43B3">
        <w:rPr>
          <w:color w:val="FF0000"/>
        </w:rPr>
        <w:t xml:space="preserve"> and visibility</w:t>
      </w:r>
      <w:r w:rsidR="00802EFB">
        <w:rPr>
          <w:color w:val="FF0000"/>
        </w:rPr>
        <w:t xml:space="preserve">, pedestrian </w:t>
      </w:r>
      <w:r w:rsidR="00802EFB">
        <w:rPr>
          <w:color w:val="FF0000"/>
        </w:rPr>
        <w:lastRenderedPageBreak/>
        <w:t>pathways and the need for new pathways.  In the case of ROC1 vehicle access could result in loss of mature Oak tree and other trees and hedging.  The logistics and challenges suggest that th</w:t>
      </w:r>
      <w:r>
        <w:rPr>
          <w:color w:val="FF0000"/>
        </w:rPr>
        <w:t xml:space="preserve">is </w:t>
      </w:r>
      <w:r w:rsidR="00802EFB">
        <w:rPr>
          <w:color w:val="FF0000"/>
        </w:rPr>
        <w:t xml:space="preserve">site </w:t>
      </w:r>
      <w:r>
        <w:rPr>
          <w:color w:val="FF0000"/>
        </w:rPr>
        <w:t>is</w:t>
      </w:r>
      <w:r w:rsidR="00802EFB">
        <w:rPr>
          <w:color w:val="FF0000"/>
        </w:rPr>
        <w:t xml:space="preserve"> not suitable, available or achievable.    </w:t>
      </w:r>
      <w:r w:rsidR="00802EFB" w:rsidRPr="00802EFB">
        <w:rPr>
          <w:color w:val="FF0000"/>
        </w:rPr>
        <w:t xml:space="preserve"> </w:t>
      </w:r>
      <w:r w:rsidR="00802EFB" w:rsidRPr="00802EFB">
        <w:t xml:space="preserve"> </w:t>
      </w:r>
    </w:p>
    <w:p w14:paraId="45142648" w14:textId="310D63FC" w:rsidR="0024736E" w:rsidRDefault="0024736E"/>
    <w:p w14:paraId="68BB5F54" w14:textId="46AA6EB0" w:rsidR="0024736E" w:rsidRPr="0024736E" w:rsidRDefault="0024736E">
      <w:pPr>
        <w:rPr>
          <w:b/>
          <w:bCs/>
        </w:rPr>
      </w:pPr>
      <w:r w:rsidRPr="0024736E">
        <w:rPr>
          <w:b/>
          <w:bCs/>
        </w:rPr>
        <w:t>Low Carbon Futures</w:t>
      </w:r>
    </w:p>
    <w:p w14:paraId="4CEE17AA" w14:textId="45D36473" w:rsidR="0024736E" w:rsidRDefault="0024736E">
      <w:r>
        <w:t>Paragraph 192 of the NPPF states that:</w:t>
      </w:r>
    </w:p>
    <w:p w14:paraId="11DE6983" w14:textId="77777777" w:rsidR="0024736E" w:rsidRPr="002310D8" w:rsidRDefault="0024736E"/>
    <w:p w14:paraId="7D5FA750" w14:textId="15465263" w:rsidR="0024736E" w:rsidRPr="0024736E" w:rsidRDefault="0024736E" w:rsidP="0024736E">
      <w:pPr>
        <w:shd w:val="clear" w:color="auto" w:fill="FFFFFF"/>
        <w:rPr>
          <w:rFonts w:eastAsia="Times New Roman" w:cstheme="minorHAnsi"/>
          <w:b/>
          <w:bCs/>
          <w:color w:val="222222"/>
          <w:lang w:eastAsia="en-GB"/>
        </w:rPr>
      </w:pPr>
      <w:r w:rsidRPr="0024736E">
        <w:rPr>
          <w:rFonts w:eastAsia="Times New Roman" w:cstheme="minorHAnsi"/>
          <w:b/>
          <w:bCs/>
          <w:color w:val="222222"/>
          <w:lang w:eastAsia="en-GB"/>
        </w:rPr>
        <w:t>“The planning system should support the transition to a low carbon future in a changing climate, taking full account of flood risk and coastal change. It should help to: shape places in ways that contribute to radical reductions in greenhouse gas emissions, minimise vulnerability and improve resilience; encourage the reuse of existing resources, including the conversion of existing buildings; and support renewable and low carbon energy and associated infrastructure.”   </w:t>
      </w:r>
    </w:p>
    <w:p w14:paraId="67569560" w14:textId="263F1F0C" w:rsidR="00C6190E" w:rsidRDefault="00C6190E">
      <w:pPr>
        <w:rPr>
          <w:b/>
          <w:bCs/>
        </w:rPr>
      </w:pPr>
    </w:p>
    <w:p w14:paraId="5E96E454" w14:textId="5FC54D4B" w:rsidR="00A47BC8" w:rsidRPr="00A47BC8" w:rsidRDefault="00A47BC8">
      <w:pPr>
        <w:rPr>
          <w:color w:val="FF0000"/>
        </w:rPr>
      </w:pPr>
      <w:r w:rsidRPr="00A47BC8">
        <w:rPr>
          <w:color w:val="FF0000"/>
        </w:rPr>
        <w:t>The site assessments revised for regulation 19 process do not show any attention to these matters.  It is not clear how the village can cope with increased flows of resident traffic</w:t>
      </w:r>
      <w:r>
        <w:rPr>
          <w:color w:val="FF0000"/>
        </w:rPr>
        <w:t xml:space="preserve"> and create </w:t>
      </w:r>
      <w:r w:rsidR="00A3282A">
        <w:rPr>
          <w:color w:val="FF0000"/>
        </w:rPr>
        <w:t>healthy, low carbon rural living,</w:t>
      </w:r>
      <w:r w:rsidRPr="00A47BC8">
        <w:rPr>
          <w:color w:val="FF0000"/>
        </w:rPr>
        <w:t xml:space="preserve"> given the layout of the settlement with a linear single road providing, deliveries, visitors, access to housing units, thoroughfare for agricultural traffic, alternative route for diverted A road traffic, national cycle route, potential tourism opportunities, school runs, private school transport routes and other through traffic.</w:t>
      </w:r>
    </w:p>
    <w:p w14:paraId="01DF1D83" w14:textId="77777777" w:rsidR="00A47BC8" w:rsidRPr="00C6190E" w:rsidRDefault="00A47BC8">
      <w:pPr>
        <w:rPr>
          <w:b/>
          <w:bCs/>
        </w:rPr>
      </w:pPr>
    </w:p>
    <w:p w14:paraId="10B7691C" w14:textId="674820F9" w:rsidR="00C6190E" w:rsidRDefault="00C6190E"/>
    <w:p w14:paraId="5525ED70" w14:textId="63D81E36" w:rsidR="00C6190E" w:rsidRPr="00582F08" w:rsidRDefault="00C6190E">
      <w:pPr>
        <w:rPr>
          <w:b/>
          <w:bCs/>
          <w:i/>
          <w:iCs/>
        </w:rPr>
      </w:pPr>
      <w:r w:rsidRPr="00A47BC8">
        <w:rPr>
          <w:i/>
          <w:iCs/>
          <w:u w:val="single"/>
        </w:rPr>
        <w:t>Document two - text (summary of up to 100 words to insert in response to the legality, soundness and compliance with community engagement)</w:t>
      </w:r>
      <w:r w:rsidR="000D5570" w:rsidRPr="00A47BC8">
        <w:rPr>
          <w:i/>
          <w:iCs/>
          <w:u w:val="single"/>
        </w:rPr>
        <w:t>.  Suggested text, below, is longer than word limit but can be selectively cut and pasted as the text must be submitted for each of the two sites separately</w:t>
      </w:r>
      <w:r w:rsidR="000D5570" w:rsidRPr="00582F08">
        <w:rPr>
          <w:b/>
          <w:bCs/>
          <w:i/>
          <w:iCs/>
        </w:rPr>
        <w:t xml:space="preserve">. </w:t>
      </w:r>
    </w:p>
    <w:p w14:paraId="607B1296" w14:textId="6C84EB84" w:rsidR="00C6190E" w:rsidRDefault="00C6190E"/>
    <w:p w14:paraId="21C8416E" w14:textId="0E5E3AC4" w:rsidR="00E57E45" w:rsidRDefault="00E57E45">
      <w:r>
        <w:t>VCROC1 ha</w:t>
      </w:r>
      <w:r w:rsidR="00036186">
        <w:t>s</w:t>
      </w:r>
      <w:r>
        <w:t xml:space="preserve"> significant issues regarding legality and soundness for these specific sites. </w:t>
      </w:r>
      <w:r w:rsidR="000D5570">
        <w:t>These can be inserted and tweaked for each of the two sites under proposal:</w:t>
      </w:r>
      <w:r>
        <w:t xml:space="preserve"> </w:t>
      </w:r>
    </w:p>
    <w:p w14:paraId="266E704C" w14:textId="75D6D026" w:rsidR="00E57E45" w:rsidRDefault="00E57E45"/>
    <w:p w14:paraId="012ED7C3" w14:textId="64960D78" w:rsidR="002B73D1" w:rsidRDefault="002B73D1" w:rsidP="002B73D1">
      <w:pPr>
        <w:ind w:left="720" w:hanging="720"/>
      </w:pPr>
      <w:proofErr w:type="spellStart"/>
      <w:r>
        <w:t>i</w:t>
      </w:r>
      <w:proofErr w:type="spellEnd"/>
      <w:r>
        <w:tab/>
      </w:r>
      <w:r w:rsidR="000D5570">
        <w:t>L</w:t>
      </w:r>
      <w:r w:rsidR="00E57E45" w:rsidRPr="002B73D1">
        <w:rPr>
          <w:b/>
          <w:bCs/>
        </w:rPr>
        <w:t xml:space="preserve">andscape and visual </w:t>
      </w:r>
      <w:r w:rsidRPr="002B73D1">
        <w:rPr>
          <w:b/>
          <w:bCs/>
        </w:rPr>
        <w:t>experience for residents and visitors.</w:t>
      </w:r>
      <w:r>
        <w:t xml:space="preserve">  Rural landscapes are undermined. Site assessment focuses unduly on landscape from </w:t>
      </w:r>
      <w:r w:rsidR="000D5570">
        <w:t>‘The Street’</w:t>
      </w:r>
      <w:r>
        <w:t xml:space="preserve"> but not from other vantage points in the village</w:t>
      </w:r>
      <w:r w:rsidR="000D5570">
        <w:t>, fields and valley.</w:t>
      </w:r>
      <w:r>
        <w:t xml:space="preserve">  </w:t>
      </w:r>
    </w:p>
    <w:p w14:paraId="4CFC3904" w14:textId="1B2A5669" w:rsidR="00E57E45" w:rsidRDefault="002B73D1" w:rsidP="002B73D1">
      <w:pPr>
        <w:ind w:left="720" w:hanging="720"/>
      </w:pPr>
      <w:r>
        <w:t>ii</w:t>
      </w:r>
      <w:r>
        <w:tab/>
      </w:r>
      <w:r w:rsidRPr="002B73D1">
        <w:rPr>
          <w:b/>
          <w:bCs/>
        </w:rPr>
        <w:t xml:space="preserve">Natural habitat </w:t>
      </w:r>
      <w:r>
        <w:rPr>
          <w:b/>
          <w:bCs/>
        </w:rPr>
        <w:t xml:space="preserve">continuity </w:t>
      </w:r>
      <w:r w:rsidRPr="002B73D1">
        <w:rPr>
          <w:b/>
          <w:bCs/>
        </w:rPr>
        <w:t>and wildlife is under threat</w:t>
      </w:r>
      <w:r>
        <w:t xml:space="preserve">: </w:t>
      </w:r>
      <w:r w:rsidR="00D94B86">
        <w:t xml:space="preserve">HEFAA/Site assessment raised amber concerns.  </w:t>
      </w:r>
      <w:r>
        <w:t>As a gateway to The Broads National Park</w:t>
      </w:r>
      <w:r w:rsidR="00D94B86">
        <w:t>, National Cycle Route, Norfolk Trails</w:t>
      </w:r>
      <w:r w:rsidR="000D5570">
        <w:t xml:space="preserve"> </w:t>
      </w:r>
      <w:r>
        <w:t>and nature reserves (</w:t>
      </w:r>
      <w:proofErr w:type="spellStart"/>
      <w:r>
        <w:t>Wheatfen</w:t>
      </w:r>
      <w:proofErr w:type="spellEnd"/>
      <w:r>
        <w:t xml:space="preserve"> and Rockland Nature Reserve</w:t>
      </w:r>
      <w:r w:rsidR="00582F08">
        <w:t xml:space="preserve"> deer, bats, Skylark, hedgehog runs, birds of prey</w:t>
      </w:r>
      <w:r>
        <w:t>)</w:t>
      </w:r>
      <w:r w:rsidR="00582F08">
        <w:t>;</w:t>
      </w:r>
      <w:r>
        <w:t xml:space="preserve"> unique mix of natural assets for the visitor and rural life and closeness to nature for residents.  </w:t>
      </w:r>
    </w:p>
    <w:p w14:paraId="70FDF2A2" w14:textId="50013610" w:rsidR="000D5570" w:rsidRDefault="002B73D1" w:rsidP="002B73D1">
      <w:pPr>
        <w:ind w:left="720" w:hanging="720"/>
      </w:pPr>
      <w:r>
        <w:t>iii</w:t>
      </w:r>
      <w:r>
        <w:tab/>
      </w:r>
      <w:r w:rsidRPr="0024736E">
        <w:rPr>
          <w:b/>
          <w:bCs/>
        </w:rPr>
        <w:t xml:space="preserve">Highways </w:t>
      </w:r>
      <w:r w:rsidR="00DB43B3" w:rsidRPr="0024736E">
        <w:rPr>
          <w:b/>
          <w:bCs/>
        </w:rPr>
        <w:t>compliance</w:t>
      </w:r>
      <w:r>
        <w:t>: HE</w:t>
      </w:r>
      <w:r w:rsidR="00DB43B3">
        <w:t>L</w:t>
      </w:r>
      <w:r>
        <w:t>AA</w:t>
      </w:r>
      <w:r w:rsidR="00582F08">
        <w:t>/</w:t>
      </w:r>
      <w:r>
        <w:t xml:space="preserve">site assessments raised amber concerns in Reg 18 not adequately dealt with in Reg 19.  </w:t>
      </w:r>
    </w:p>
    <w:p w14:paraId="479991C8" w14:textId="5983DAE1" w:rsidR="00582F08" w:rsidRDefault="000D5570" w:rsidP="002B73D1">
      <w:pPr>
        <w:ind w:left="720" w:hanging="720"/>
      </w:pPr>
      <w:r>
        <w:t>iv.</w:t>
      </w:r>
      <w:r>
        <w:tab/>
      </w:r>
      <w:r w:rsidRPr="0024736E">
        <w:rPr>
          <w:b/>
          <w:bCs/>
        </w:rPr>
        <w:t>Inclusivity</w:t>
      </w:r>
      <w:r w:rsidR="00DB43B3" w:rsidRPr="0024736E">
        <w:rPr>
          <w:b/>
          <w:bCs/>
        </w:rPr>
        <w:t xml:space="preserve"> and safety</w:t>
      </w:r>
      <w:r>
        <w:t xml:space="preserve">: disabled mobility and wheelchair access seems unachievable; VCROC1 encourages more car use into village. </w:t>
      </w:r>
      <w:r w:rsidR="00DB43B3">
        <w:t xml:space="preserve">The </w:t>
      </w:r>
      <w:r w:rsidR="00D94B86">
        <w:t xml:space="preserve">vehicular access point creates new dangers and the increase of pedestrians on existing inadequate safe footpaths increases chances of accidents at dangerous bends and necessary crossing points for school, post office, bus stops. </w:t>
      </w:r>
    </w:p>
    <w:p w14:paraId="6C1A62C6" w14:textId="2BF26794" w:rsidR="0024736E" w:rsidRDefault="00582F08" w:rsidP="002B73D1">
      <w:pPr>
        <w:ind w:left="720" w:hanging="720"/>
      </w:pPr>
      <w:r>
        <w:t>v.</w:t>
      </w:r>
      <w:r>
        <w:tab/>
      </w:r>
      <w:r w:rsidR="00D94B86" w:rsidRPr="0024736E">
        <w:rPr>
          <w:b/>
          <w:bCs/>
        </w:rPr>
        <w:t>Climate change:</w:t>
      </w:r>
      <w:r w:rsidR="00D94B86">
        <w:t xml:space="preserve"> VCROC1 residents will be overly car dependant to get into the village, it will be safer to drive than to walk.  </w:t>
      </w:r>
      <w:r w:rsidR="0024736E">
        <w:t xml:space="preserve">The developments depart from stated </w:t>
      </w:r>
      <w:r w:rsidR="0024736E">
        <w:lastRenderedPageBreak/>
        <w:t xml:space="preserve">NPPF in regard to working towards and transitioning to a low carbon future.  Village cluster developments should ensure walkability and accessibility for all. </w:t>
      </w:r>
    </w:p>
    <w:p w14:paraId="511E23A3" w14:textId="14F1A25F" w:rsidR="002B73D1" w:rsidRDefault="0024736E" w:rsidP="002B73D1">
      <w:pPr>
        <w:ind w:left="720" w:hanging="720"/>
      </w:pPr>
      <w:r>
        <w:t>vi.</w:t>
      </w:r>
      <w:r>
        <w:tab/>
      </w:r>
      <w:r w:rsidRPr="0024736E">
        <w:rPr>
          <w:b/>
          <w:bCs/>
        </w:rPr>
        <w:t>Utilities</w:t>
      </w:r>
      <w:r>
        <w:t xml:space="preserve"> - t</w:t>
      </w:r>
      <w:r w:rsidR="00D94B86">
        <w:t xml:space="preserve">he sites are outside of the settlement limit which is at capacity in terms of drainage and sewerage.  The site assessment  for Reg 19 has not shown evidence of engagement with key stakeholders, Anglian Water.  The village is already susceptible to severe water run-off and with increasing climate uncertainty more heavy rainfall coupled with additional sewage demands poses potential health hazards and increased flooding in the village. </w:t>
      </w:r>
      <w:r w:rsidR="002B73D1">
        <w:tab/>
      </w:r>
    </w:p>
    <w:p w14:paraId="2292D8B2" w14:textId="4B07054E" w:rsidR="002B73D1" w:rsidRDefault="00A3282A" w:rsidP="00A3282A">
      <w:pPr>
        <w:ind w:left="720" w:hanging="720"/>
      </w:pPr>
      <w:r>
        <w:t>vii</w:t>
      </w:r>
      <w:r>
        <w:tab/>
      </w:r>
      <w:r w:rsidRPr="00A3282A">
        <w:rPr>
          <w:b/>
          <w:bCs/>
        </w:rPr>
        <w:t>Affordability,</w:t>
      </w:r>
      <w:r>
        <w:t xml:space="preserve"> housing need – promoters have not given any evidence or information about the percentage of affordable or social housing planned for these two developments.  Locals want affordable housing for their children, relatives, etc.  The district councillor has indicated that housing will be affordable for rent of buying, that locals will have priority; these claims are nowhere evidenced or referred to in the current plan. </w:t>
      </w:r>
      <w:r>
        <w:tab/>
      </w:r>
      <w:r>
        <w:tab/>
      </w:r>
    </w:p>
    <w:p w14:paraId="7127F71C" w14:textId="77777777" w:rsidR="00C6190E" w:rsidRDefault="00C6190E"/>
    <w:p w14:paraId="56C4FBEB" w14:textId="77777777" w:rsidR="00C6190E" w:rsidRDefault="00C6190E"/>
    <w:sectPr w:rsidR="00C6190E" w:rsidSect="00A059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B5945"/>
    <w:multiLevelType w:val="hybridMultilevel"/>
    <w:tmpl w:val="E6E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0E"/>
    <w:rsid w:val="00036186"/>
    <w:rsid w:val="00060F3C"/>
    <w:rsid w:val="000C6023"/>
    <w:rsid w:val="000D5570"/>
    <w:rsid w:val="001E1244"/>
    <w:rsid w:val="002310D8"/>
    <w:rsid w:val="0024736E"/>
    <w:rsid w:val="002A2CDC"/>
    <w:rsid w:val="002B73D1"/>
    <w:rsid w:val="004B517B"/>
    <w:rsid w:val="00574CBC"/>
    <w:rsid w:val="00582F08"/>
    <w:rsid w:val="00802EFB"/>
    <w:rsid w:val="00867FFD"/>
    <w:rsid w:val="008C5392"/>
    <w:rsid w:val="008D3E34"/>
    <w:rsid w:val="008D40BD"/>
    <w:rsid w:val="00A059F3"/>
    <w:rsid w:val="00A3282A"/>
    <w:rsid w:val="00A47BC8"/>
    <w:rsid w:val="00A630D5"/>
    <w:rsid w:val="00C047B3"/>
    <w:rsid w:val="00C6190E"/>
    <w:rsid w:val="00D107D3"/>
    <w:rsid w:val="00D94B86"/>
    <w:rsid w:val="00DB43B3"/>
    <w:rsid w:val="00DD77AA"/>
    <w:rsid w:val="00E05827"/>
    <w:rsid w:val="00E57E45"/>
    <w:rsid w:val="00E6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EE2678"/>
  <w15:chartTrackingRefBased/>
  <w15:docId w15:val="{9762B3D2-8B69-474B-8182-FF7605B7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45"/>
    <w:pPr>
      <w:ind w:left="720"/>
      <w:contextualSpacing/>
    </w:pPr>
  </w:style>
  <w:style w:type="paragraph" w:styleId="BalloonText">
    <w:name w:val="Balloon Text"/>
    <w:basedOn w:val="Normal"/>
    <w:link w:val="BalloonTextChar"/>
    <w:uiPriority w:val="99"/>
    <w:semiHidden/>
    <w:unhideWhenUsed/>
    <w:rsid w:val="002A2C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CDC"/>
    <w:rPr>
      <w:rFonts w:ascii="Times New Roman" w:hAnsi="Times New Roman" w:cs="Times New Roman"/>
      <w:sz w:val="18"/>
      <w:szCs w:val="18"/>
    </w:rPr>
  </w:style>
  <w:style w:type="character" w:styleId="Hyperlink">
    <w:name w:val="Hyperlink"/>
    <w:basedOn w:val="DefaultParagraphFont"/>
    <w:uiPriority w:val="99"/>
    <w:unhideWhenUsed/>
    <w:rsid w:val="002A2CDC"/>
    <w:rPr>
      <w:color w:val="0000FF"/>
      <w:u w:val="single"/>
    </w:rPr>
  </w:style>
  <w:style w:type="character" w:styleId="FollowedHyperlink">
    <w:name w:val="FollowedHyperlink"/>
    <w:basedOn w:val="DefaultParagraphFont"/>
    <w:uiPriority w:val="99"/>
    <w:semiHidden/>
    <w:unhideWhenUsed/>
    <w:rsid w:val="002A2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769790">
      <w:bodyDiv w:val="1"/>
      <w:marLeft w:val="0"/>
      <w:marRight w:val="0"/>
      <w:marTop w:val="0"/>
      <w:marBottom w:val="0"/>
      <w:divBdr>
        <w:top w:val="none" w:sz="0" w:space="0" w:color="auto"/>
        <w:left w:val="none" w:sz="0" w:space="0" w:color="auto"/>
        <w:bottom w:val="none" w:sz="0" w:space="0" w:color="auto"/>
        <w:right w:val="none" w:sz="0" w:space="0" w:color="auto"/>
      </w:divBdr>
      <w:divsChild>
        <w:div w:id="79517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73895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Harkin</dc:creator>
  <cp:keywords/>
  <dc:description/>
  <cp:lastModifiedBy>Juliette Harkin</cp:lastModifiedBy>
  <cp:revision>3</cp:revision>
  <dcterms:created xsi:type="dcterms:W3CDTF">2023-03-07T02:18:00Z</dcterms:created>
  <dcterms:modified xsi:type="dcterms:W3CDTF">2023-03-07T02:20:00Z</dcterms:modified>
</cp:coreProperties>
</file>