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A398" w14:textId="357CA2A6" w:rsidR="00C30A87" w:rsidRDefault="00E40B1B">
      <w:r>
        <w:t>29.10</w:t>
      </w:r>
    </w:p>
    <w:p w14:paraId="72569B6C" w14:textId="77777777" w:rsidR="00E40B1B" w:rsidRPr="00D2630A" w:rsidRDefault="00E40B1B" w:rsidP="00E40B1B">
      <w:pPr>
        <w:rPr>
          <w:u w:val="single"/>
        </w:rPr>
      </w:pPr>
      <w:r w:rsidRPr="00D2630A">
        <w:rPr>
          <w:u w:val="single"/>
        </w:rPr>
        <w:t>Road Safety</w:t>
      </w:r>
    </w:p>
    <w:p w14:paraId="7F95621C" w14:textId="77777777" w:rsidR="00E40B1B" w:rsidRPr="00D2630A" w:rsidRDefault="00E40B1B" w:rsidP="00E40B1B">
      <w:pPr>
        <w:spacing w:before="240"/>
      </w:pPr>
      <w:r w:rsidRPr="00D2630A">
        <w:t>On a weekly basis 40% of vehicles leaving the village are travelling at greater than 30mph (as recorded by SAM2 in June 2022), 25% of vehicles entering the village are also travelling at greater than 30mph into the village and past Broadfields Way and the newly proposed access route.</w:t>
      </w:r>
    </w:p>
    <w:p w14:paraId="09789772" w14:textId="77777777" w:rsidR="00E40B1B" w:rsidRDefault="00E40B1B"/>
    <w:sectPr w:rsidR="00E40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1B"/>
    <w:rsid w:val="00C30A87"/>
    <w:rsid w:val="00E4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CDE30"/>
  <w15:chartTrackingRefBased/>
  <w15:docId w15:val="{46005FEE-73E2-48D2-8250-434E522F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Responsible Finance Officer</dc:creator>
  <cp:keywords/>
  <dc:description/>
  <cp:lastModifiedBy>Responsible Finance Officer</cp:lastModifiedBy>
  <cp:revision>1</cp:revision>
  <dcterms:created xsi:type="dcterms:W3CDTF">2023-03-08T09:21:00Z</dcterms:created>
  <dcterms:modified xsi:type="dcterms:W3CDTF">2023-03-08T09:21:00Z</dcterms:modified>
</cp:coreProperties>
</file>